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14</w:t>
      </w:r>
    </w:p>
    <w:p>
      <w:r>
        <w:t>Bundesgericht (BGE), 1986-06-12, DE</w:t>
      </w:r>
    </w:p>
    <w:p>
      <w:r>
        <w:rPr>
          <w:b/>
        </w:rPr>
        <w:t xml:space="preserve">Quelle: </w:t>
      </w:r>
      <w:r>
        <w:t>https://mcp.opencaselaw.ch/entscheid/bge_112 III 14</w:t>
      </w:r>
    </w:p>
    <w:p>
      <w:r>
        <w:t>FR: ATF 112 III 14</w:t>
      </w:r>
    </w:p>
    <w:p>
      <w:r>
        <w:t>IT: DTF 112 III 14</w:t>
      </w:r>
    </w:p>
    <w:p>
      <w:pPr>
        <w:pStyle w:val="Heading2"/>
      </w:pPr>
      <w:r>
        <w:t>Regeste</w:t>
      </w:r>
    </w:p>
    <w:p>
      <w:r>
        <w:t>Regeste Vollzug der Pfändung bei Abwesenheit des Schuldners. Findet sich der Schuldner zum ordnungsgemäss angekündigten Pfändungsvollzug nicht ein, ist das Betreibungsamt befugt, die Pfändung in seiner Abwesenheit zu vollziehen, indem es Vermögenswerte, von denen es aus einer früheren Betreibung Kenntnis hat, mit Beschlag belegt. Die Pfändung entfaltet ihre Wirkungen jedoch erst mit der Zustellung der Pfändungsurkunde an den Schuldner. Dass die Pfändungsurkunde während der Betreibungsferien aufgenommen wurde, ist in einem solchen Fall unerheblich, vorausgesetzt, dass sie erst nach dem Betreibungsstillstand zugestellt wurde.</w:t>
      </w:r>
    </w:p>
    <w:p>
      <w:pPr>
        <w:pStyle w:val="Heading2"/>
      </w:pPr>
      <w:r>
        <w:t>Erwägungen</w:t>
      </w:r>
    </w:p>
    <w:p>
      <w:r>
        <w:rPr>
          <w:b/>
        </w:rPr>
        <w:t>E. 3</w:t>
      </w:r>
    </w:p>
    <w:p>
      <w:r>
        <w:t>Wesentliches Element der Pfändung ist die Erklärung des Betreibungsbeamten an den Schuldner, dass dieser sich bei Straffolge jeder nicht bewilligten Verfügung über den mit Beschlag belegten Vermögenswert zu enthalten habe (vgl. Art. 96 Abs. 1 SchKG ). Solange der Betreibungsschuldner nicht ausdrücklich auf diese gesetzliche Unterlassungspflicht hingewiesen wurde, ist die Pfändung nicht wirksam und auch nicht rechtsgültig vollzogen (vgl. BGE 110 III 59 mit Hinweisen; BGE 107 III 69 f. E. 1).</w:t>
      </w:r>
    </w:p>
    <w:p>
      <w:r>
        <w:rPr>
          <w:b/>
        </w:rPr>
        <w:t>E. 4</w:t>
      </w:r>
    </w:p>
    <w:p>
      <w:r>
        <w:t>Im vorliegenden Fall steht fest, dass sich Betreibungsbeamter und Rekurrent am 6. September 1985, auf den die Pfändung angekündigt worden war, nicht trafen, und zwar weder um 19.00 Uhr noch zu einem andern Zeitpunkt. Der Betreibungsbeamte konnte den Rekurrenten somit nicht auf die Verfügungsbeschränkung aufmerksam machen, die mit einer Pfändung verbunden ist. Eine solche ist nach dem Gesagten am 6. September 1985 gar nicht vollzogen worden. Die von den kantonalen Aufsichtsbehörden angeführte Rechtsprechung ( BGE 79 III 152 E. 1 mit Hinweisen), wonach eine in Missachtung von Art. 56 Ziff. 1 SchKG BGE 112 III 14 S. 16 nach 19.00 Uhr vollzogene Pfändung ihre Wirkungen am nächstfolgenden Tag entfaltet, kam deshalb von vornherein nicht zum Tragen. Der Entscheid der unteren Aufsichtsbehörde, die Pfändungsurkunde dahin zu berichtigen, dass die Pfändung am 7. September 1985 vollzogen worden sei, war demnach falsch. Da diese Verfügung durch den angefochtenen Entscheid bestätigt wurde, ist dieser - von Amtes wegen - zu berichtigen. Das Gesagte führt indessen nicht ohne weiteres zu der vom Rekurrenten beantragten Aufhebung der Pfändung.</w:t>
      </w:r>
    </w:p>
    <w:p>
      <w:r>
        <w:rPr>
          <w:b/>
        </w:rPr>
        <w:t>E. 5</w:t>
      </w:r>
    </w:p>
    <w:p>
      <w:r>
        <w:t>a) Der Betreibungsschuldner, dem die Pfändung ordnungsgemäss angekündigt worden ist, kann deren Vollzug nicht dadurch vereiteln, dass er sich zum festgesetzten Zeitpunkt nicht am angegebenen Ort einfindet (vgl. AMONN, Grundriss des Schuldbetreibungs- und Konkursrechts, 3. Aufl., § 22 Rz. 23; FRITZSCHE/WALDER, Schuldbetreibung und Konkurs nach schweizerischem Recht, I. Bd., § 23 Rz. 16; JAEGER, N. 4 zu Art. 89 und N. 4 zu Art. 91 SchKG ). Hat der Betreibungsbeamte - etwa von einer früheren Betreibung her - Kenntnis von pfändbaren Vermögenswerten des Betriebenen, so ist er befugt, eine entsprechende Pfändungsurkunde aufzunehmen (vgl. BGE 38 I 189 E. 1 mit Hinweis). Allerdings entfaltet diese Massnahme keine Wirkungen, bevor dem Schuldner mitgeteilt wurde, dass einzelne seiner Vermögenswerte mit Beschlag belegt worden seien und dass er darüber nicht unerlaubtermassen verfügen dürfe. Diesem Erfordernis wird mit der Zustellung der Pfändungsurkunde Genüge geleistet (vgl. FAVRE, SJK Nr. 763, S. 6 Ziff. 5). b) Die Pfändungsurkunde vom 12. September 1985, worin als Pfändungsobjekt die Liegenschaft des Rekurrenten angeführt wurde (von welcher der Betreibungsbeamte aus einer früheren Betreibung Kenntnis hatte), verstösst aus der Sicht des Gesagten nicht gegen Bundesrecht. Dass die Urkunde nicht am erwähnten Tag, sondern schon am 6. September 1985 (d.h. gleich im Anschluss an den Pfändungsversuch in der Wohnung des Rekurrenten) aufgenommen worden wäre, ist in keiner Weise dargetan. Indem die untere kantonale Aufsichtsbehörde das Pfändungsdatum unter Hinweis auf die Rechtsprechung zu Art. 56 Ziff. 1 SchKG (Pfändungsvollzug nach 19.00 Uhr) auf den 7. September 1985 festlegte, hat sie deshalb Art. 9 Abs. 1 ZGB missachtet, wonach eine öffentliche Urkunde für die durch sie bezeugten Tatsachen vollen Beweis erbringt, solange nicht die Unrichtigkeit ihres Inhalts nachgewiesen ist. BGE 112 III 14 S. 17 Es trifft zu, dass der 12. September 1985 in die Bettags-Betreibungsferien fiel, in denen grundsätzlich keine Betreibungshandlungen vorgenommen werden durften ( Art. 56 Ziff. 3 SchKG ). Die Errichtung der Pfändungsurkunde war unter den Umständen, wie sie hier vorlagen, indessen eine rein interne Massnahme, und nicht eine Betreibungshandlung im Sinne der erwähnten Bestimmung. Die weiteren Vorkehren traf das Betreibungsamt erst am 23. September 1985, dem ersten Tag nach den Betreibungsferien. An jenem Tag wurde die Pfändungsurkunde an den Rekurrenten versandt und die Verfügungsbeschränkung zur Vormerkung im Grundbuch erlassen. Für die hier in Frage stehenden Betreibungen ... trat die Anweisung an den Mieter bzw. Pächter der gepfändeten Liegenschaft, den Zins an das Betreibungsamt zu zahlen, gemäss der strittigen Pfändungsurkunde im übrigen erst auf den 30. Januar 1986 in Kraft. Der Post-Zustellbeamte konnte die am 23. September 1985 aufgegebene Pfändungsurkunde dem Rekurrenten nicht aushändigen, weshalb diesem im Sinne von Art. 169 Abs. 1 lit. d der Verordnung (1) vom 1. September 1967 zum Postverkehrsgesetz eine - bis zum 1. Oktober 1985 laufende - Frist von sieben Tagen zur Abholung auf dem Postamt angesetzt wurde. Der Rekurrent liess die Frist ungenützt verstreichen, was nach ständiger Rechtsprechung zur Folge hatte, dass die Pfändungsurkunde als am letzten Tag zugestellt galt (vgl. BGE 100 III 5 E. 2 mit Hinweisen). Der 1. Oktober 1985 lag ebenso wie das Versand-Datum ausserhalb der Betreibungsferien. Eine Aufhebung der Pfändung kommt somit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